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B519EB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ОУД.10</w:t>
      </w:r>
      <w:r w:rsidR="00F775DD" w:rsidRPr="00DA2AB8">
        <w:rPr>
          <w:b/>
          <w:bCs/>
        </w:rPr>
        <w:t xml:space="preserve"> </w:t>
      </w:r>
      <w:r w:rsidR="00DA2AB8" w:rsidRPr="00DA2AB8">
        <w:rPr>
          <w:b/>
          <w:bCs/>
        </w:rPr>
        <w:t>ОБЩЕСТВОЗНАНИЕ</w:t>
      </w:r>
      <w:r>
        <w:rPr>
          <w:b/>
          <w:bCs/>
        </w:rPr>
        <w:t xml:space="preserve"> (ВКЛЮЧАЯ ЭКОНОМИКУ И ПРАВО)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B519EB">
        <w:rPr>
          <w:bCs/>
        </w:rPr>
        <w:t xml:space="preserve"> (включая экономику и право)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83B8A">
        <w:rPr>
          <w:lang w:eastAsia="ar-SA"/>
        </w:rPr>
        <w:t>38.02.05 Товароведение и экспертиза качества потребительских товаров</w:t>
      </w:r>
      <w:r w:rsidR="00DA2AB8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519EB">
        <w:rPr>
          <w:bCs/>
        </w:rPr>
        <w:t xml:space="preserve"> (включая экономику и право)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A83B8A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DA2AB8" w:rsidRDefault="00A83B8A" w:rsidP="00A83B8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bookmarkStart w:id="0" w:name="_GoBack"/>
      <w:bookmarkEnd w:id="0"/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519EB">
        <w:rPr>
          <w:bCs/>
        </w:rPr>
        <w:t xml:space="preserve"> (включая экономику и право)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D34E4">
        <w:rPr>
          <w:bCs/>
        </w:rPr>
        <w:t xml:space="preserve"> (</w:t>
      </w:r>
      <w:r w:rsidR="00B519EB">
        <w:rPr>
          <w:bCs/>
        </w:rPr>
        <w:t>включая экономику и право)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lastRenderedPageBreak/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</w:t>
      </w:r>
      <w:r w:rsidR="00B519EB">
        <w:rPr>
          <w:szCs w:val="28"/>
        </w:rPr>
        <w:t xml:space="preserve">ественными чертами и </w:t>
      </w:r>
      <w:proofErr w:type="gramStart"/>
      <w:r w:rsidR="00B519EB">
        <w:rPr>
          <w:szCs w:val="28"/>
        </w:rPr>
        <w:t xml:space="preserve">признаками </w:t>
      </w:r>
      <w:r w:rsidRPr="00DA2AB8">
        <w:rPr>
          <w:szCs w:val="28"/>
        </w:rPr>
        <w:t>изученных социальных явлений</w:t>
      </w:r>
      <w:proofErr w:type="gramEnd"/>
      <w:r w:rsidRPr="00DA2AB8">
        <w:rPr>
          <w:szCs w:val="28"/>
        </w:rPr>
        <w:t xml:space="preserve">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  <w:t>Содержание учебного материала</w:t>
      </w:r>
    </w:p>
    <w:sectPr w:rsidR="007D7B9A" w:rsidRPr="00DA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92898"/>
    <w:rsid w:val="007D7B9A"/>
    <w:rsid w:val="00A455D3"/>
    <w:rsid w:val="00A66F40"/>
    <w:rsid w:val="00A83B8A"/>
    <w:rsid w:val="00B519EB"/>
    <w:rsid w:val="00BD34E4"/>
    <w:rsid w:val="00DA2AB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2017-10-29T19:40:00Z</dcterms:created>
  <dcterms:modified xsi:type="dcterms:W3CDTF">2017-10-29T19:41:00Z</dcterms:modified>
</cp:coreProperties>
</file>